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7F7F" w14:textId="77777777" w:rsidR="00D7299D" w:rsidRPr="00D7299D" w:rsidRDefault="00D7299D" w:rsidP="00D7299D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56"/>
          <w:szCs w:val="56"/>
          <w:lang w:eastAsia="pt-BR"/>
          <w14:ligatures w14:val="none"/>
        </w:rPr>
        <w:t>The Message of the Cross, Lesson 2</w:t>
      </w:r>
    </w:p>
    <w:p w14:paraId="4EA196C2" w14:textId="2AE33636" w:rsidR="00D7299D" w:rsidRPr="00D7299D" w:rsidRDefault="00D7299D" w:rsidP="00D7299D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Adult Bible Study Guide, 2026 3Q, "First and Second Corinthians"</w:t>
      </w:r>
    </w:p>
    <w:p w14:paraId="26DE413E" w14:textId="24A42E05" w:rsidR="00D7299D" w:rsidRPr="00D7299D" w:rsidRDefault="00D7299D" w:rsidP="00D7299D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 </w:t>
      </w:r>
    </w:p>
    <w:p w14:paraId="3779BAFF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D7299D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474E036E" wp14:editId="16E66BE7">
            <wp:extent cx="457200" cy="457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99D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D7299D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The Teacher's Notes</w:t>
        </w:r>
      </w:hyperlink>
      <w:r w:rsidRPr="00D7299D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— </w:t>
      </w:r>
      <w:hyperlink r:id="rId7" w:tooltip="Permalink to The Teacher’s Notes–The Message of the Cross, Lesson 2 Adult Bible Study Guide, 2026 3Q, &quot;First and Second Corinthians&quot;" w:history="1">
        <w:r w:rsidRPr="00D7299D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lang w:eastAsia="pt-BR"/>
            <w14:ligatures w14:val="none"/>
          </w:rPr>
          <w:t>July 4, 2026</w:t>
        </w:r>
      </w:hyperlink>
    </w:p>
    <w:p w14:paraId="54078973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20C647B3" wp14:editId="6DECC645">
            <wp:extent cx="3514725" cy="2438991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00" cy="244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DF30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Sabbath School Lesson for July 4-10, 2026</w:t>
      </w:r>
    </w:p>
    <w:p w14:paraId="2DEF092F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Introduction of Lesson 2, The Message of the Cross</w:t>
      </w:r>
    </w:p>
    <w:p w14:paraId="46401442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proofErr w:type="spellStart"/>
      <w:r w:rsidRPr="00D7299D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Memory</w:t>
      </w:r>
      <w:proofErr w:type="spellEnd"/>
      <w:r w:rsidRPr="00D7299D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Text</w:t>
      </w:r>
      <w:proofErr w:type="spellEnd"/>
      <w:r w:rsidRPr="00D7299D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: </w:t>
      </w:r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“For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message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cross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is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foolishness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those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who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are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perishing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but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us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who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are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being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saved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it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is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power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God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.” </w:t>
      </w:r>
      <w:hyperlink r:id="rId9" w:tgtFrame="_blank" w:history="1">
        <w:r w:rsidRPr="00D7299D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lang w:eastAsia="pt-BR"/>
            <w14:ligatures w14:val="none"/>
          </w:rPr>
          <w:t>1 Corinthians 1:18 NIV</w:t>
        </w:r>
      </w:hyperlink>
    </w:p>
    <w:p w14:paraId="23560D0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topic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preliminary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greetings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Gentiles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73FAD3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looking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ruler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overthrow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enemies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Servant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idea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valued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philosophical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satisfied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story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criminal,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universe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sounded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unlikely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0E4529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Regardless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negative responses,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promoted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counter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obstacles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ministry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prevailed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century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resurrection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72408B18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week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explore:</w:t>
      </w:r>
    </w:p>
    <w:p w14:paraId="312512AD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Sunday: </w:t>
      </w:r>
      <w:proofErr w:type="gram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  Gospel</w:t>
      </w:r>
      <w:proofErr w:type="gram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</w:p>
    <w:p w14:paraId="764A5388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Who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Perishing</w:t>
      </w:r>
      <w:proofErr w:type="spellEnd"/>
    </w:p>
    <w:p w14:paraId="1C737CB3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Tuesday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Power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Who Are Being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Saved</w:t>
      </w:r>
      <w:proofErr w:type="spellEnd"/>
    </w:p>
    <w:p w14:paraId="15838EE9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Wednesday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</w:p>
    <w:p w14:paraId="730E36BD" w14:textId="77777777" w:rsidR="00D7299D" w:rsidRPr="00D7299D" w:rsidRDefault="00D7299D" w:rsidP="00D7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Thursday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Power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</w:p>
    <w:p w14:paraId="0356F669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Sunday: The Gospel of Christ</w:t>
      </w:r>
    </w:p>
    <w:p w14:paraId="3A37D67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Athens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Savior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center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1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1:17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1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2:2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Argument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debate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lead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conversions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metropolis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henceforth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declared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new approach.</w:t>
      </w:r>
    </w:p>
    <w:p w14:paraId="0B2B4F2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Making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resurrected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foremost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discourse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as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mentioned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divisions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78930D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explained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baptize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(as some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do),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goal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listen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5226FA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15216C0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1:17-31</w:t>
        </w:r>
      </w:hyperlink>
    </w:p>
    <w:p w14:paraId="3E3AEC2A" w14:textId="77777777" w:rsidR="00D7299D" w:rsidRPr="00D7299D" w:rsidRDefault="00D7299D" w:rsidP="00D72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main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idea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verses?</w:t>
      </w:r>
    </w:p>
    <w:p w14:paraId="7582DEF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1:17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14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2:2</w:t>
        </w:r>
      </w:hyperlink>
    </w:p>
    <w:p w14:paraId="38B1D160" w14:textId="77777777" w:rsidR="00D7299D" w:rsidRPr="00D7299D" w:rsidRDefault="00D7299D" w:rsidP="00D72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likely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trying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avoid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new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emphasis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gospel?</w:t>
      </w:r>
    </w:p>
    <w:p w14:paraId="18BA29B7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Monday: Foolishness to Those Who Are Perishing</w:t>
      </w:r>
    </w:p>
    <w:p w14:paraId="38DF2327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proofErr w:type="gram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mentioned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 “</w:t>
      </w:r>
      <w:proofErr w:type="spellStart"/>
      <w:proofErr w:type="gram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several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times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epistle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Corinthians. The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sounded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unbelieving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perishing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returned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6354688E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He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pointed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signs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crucified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shameful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Therefore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tremendous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stumbling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block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source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laughing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ridicule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83C042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advance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accounts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opposition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faces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delivering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something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unusual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Today,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explanations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accepting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always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efforts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behavior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patterns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necessary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mindset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attract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attention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ultimately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transform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living.</w:t>
      </w:r>
    </w:p>
    <w:p w14:paraId="7178FE19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49B8F76C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5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1:20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6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21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7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23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8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25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9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27</w:t>
        </w:r>
      </w:hyperlink>
    </w:p>
    <w:p w14:paraId="57F8CB44" w14:textId="77777777" w:rsidR="00D7299D" w:rsidRPr="00D7299D" w:rsidRDefault="00D7299D" w:rsidP="00D7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certain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? Who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E9AD228" w14:textId="77777777" w:rsidR="00D7299D" w:rsidRPr="00D7299D" w:rsidRDefault="00D7299D" w:rsidP="00D7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obstacles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47D3C4C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Tuesday: Power to Those Who Are Being Saved</w:t>
      </w:r>
    </w:p>
    <w:p w14:paraId="237EFB8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Very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faced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puzzling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opposites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shedding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Jesus’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blood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"https://ref.ly/Col%201.20;nkjv?t=biblia" \t "_blank"</w:instrText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D7299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>Colossians</w:t>
      </w:r>
      <w:proofErr w:type="spellEnd"/>
      <w:r w:rsidRPr="00D7299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pt-BR"/>
          <w14:ligatures w14:val="none"/>
        </w:rPr>
        <w:t xml:space="preserve"> 1:20</w:t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)?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Bloodshed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usually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indicates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healed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wounded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Peter 2:24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)?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don’t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perishing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due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reckless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neglect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learning more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983AA8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When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open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actual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Son.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come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point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powerless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against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stark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contrast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imparts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desire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led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B30EF8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instead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become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source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harmful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self-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destruction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No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wonder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anxious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F60FD2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16DBCFF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1" w:tgtFrame="_blank" w:history="1">
        <w:proofErr w:type="spellStart"/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Colossians</w:t>
        </w:r>
        <w:proofErr w:type="spellEnd"/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1:20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2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Peter 2:24</w:t>
        </w:r>
      </w:hyperlink>
    </w:p>
    <w:p w14:paraId="09C58BE0" w14:textId="77777777" w:rsidR="00D7299D" w:rsidRPr="00D7299D" w:rsidRDefault="00D7299D" w:rsidP="00D7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statements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contradictory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A93C7BE" w14:textId="77777777" w:rsidR="00D7299D" w:rsidRPr="00D7299D" w:rsidRDefault="00D7299D" w:rsidP="00D7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explain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doubts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262CD25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3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1:30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4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31</w:t>
        </w:r>
      </w:hyperlink>
    </w:p>
    <w:p w14:paraId="7364C780" w14:textId="77777777" w:rsidR="00D7299D" w:rsidRPr="00D7299D" w:rsidRDefault="00D7299D" w:rsidP="00D7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credit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lives?</w:t>
      </w:r>
    </w:p>
    <w:p w14:paraId="7C466924" w14:textId="77777777" w:rsidR="00D7299D" w:rsidRPr="00D7299D" w:rsidRDefault="00D7299D" w:rsidP="00D7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praise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expressed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43C7CCB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Wednesday: A Messiah Crucified</w:t>
      </w:r>
    </w:p>
    <w:p w14:paraId="0F8C552F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Today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beloved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symbol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adorns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inside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out. People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wear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around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symbol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Roman Empire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during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witnessed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suffering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cruel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symbol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shame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something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turn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away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avoid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5ACB2F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For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associates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symbol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counter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prevailing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mindset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Even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sinless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heavenly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angels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struggle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Father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Calvary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D5A3467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Most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back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oblivious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Messiah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continually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salvation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word,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don’t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misunderstand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unfold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Second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8990D4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129EA5E0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5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2:1-5</w:t>
        </w:r>
      </w:hyperlink>
    </w:p>
    <w:p w14:paraId="6B4E3061" w14:textId="77777777" w:rsidR="00D7299D" w:rsidRPr="00D7299D" w:rsidRDefault="00D7299D" w:rsidP="00D7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play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ministry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1A2E74F" w14:textId="77777777" w:rsidR="00D7299D" w:rsidRPr="00D7299D" w:rsidRDefault="00D7299D" w:rsidP="00D7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spirit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evangelistic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efforts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1909518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6" w:tgtFrame="_blank" w:history="1">
        <w:proofErr w:type="spellStart"/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Acts</w:t>
        </w:r>
        <w:proofErr w:type="spellEnd"/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 xml:space="preserve"> 13:26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7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38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28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47</w:t>
        </w:r>
      </w:hyperlink>
    </w:p>
    <w:p w14:paraId="32B499EE" w14:textId="77777777" w:rsidR="00D7299D" w:rsidRPr="00D7299D" w:rsidRDefault="00D7299D" w:rsidP="00D7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581FBA1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Thursday: Christ, the Power and Wisdom of God</w:t>
      </w:r>
    </w:p>
    <w:p w14:paraId="769F23DB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necessarily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address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issue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humanity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fully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suffering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death.</w:t>
      </w:r>
    </w:p>
    <w:p w14:paraId="522F76A1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salvation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achieved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imparts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manifests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resist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temptation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1E6D1E3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salvation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Calvary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makes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strength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beyond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anything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worldly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deliver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strength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character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lasting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secure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eternity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Something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never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achieve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no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matter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tries.</w:t>
      </w:r>
    </w:p>
    <w:p w14:paraId="0F0EAB50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D7299D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40CED83C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9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1:24-29</w:t>
        </w:r>
      </w:hyperlink>
    </w:p>
    <w:p w14:paraId="5A4A3ACE" w14:textId="77777777" w:rsidR="00D7299D" w:rsidRPr="00D7299D" w:rsidRDefault="00D7299D" w:rsidP="00D72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point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trying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foolishness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weakness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6CBED5D6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0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1 Corinthians 1:21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31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2 Timothy 3:15</w:t>
        </w:r>
      </w:hyperlink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32" w:tgtFrame="_blank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James 1:5</w:t>
        </w:r>
      </w:hyperlink>
    </w:p>
    <w:p w14:paraId="701E6D3F" w14:textId="77777777" w:rsidR="00D7299D" w:rsidRPr="00D7299D" w:rsidRDefault="00D7299D" w:rsidP="00D729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some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it?</w:t>
      </w:r>
    </w:p>
    <w:p w14:paraId="5A52097D" w14:textId="77777777" w:rsidR="00D7299D" w:rsidRPr="00D7299D" w:rsidRDefault="00D7299D" w:rsidP="00D7299D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D7299D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Friday: Final Thoughts</w:t>
      </w:r>
    </w:p>
    <w:p w14:paraId="1842E724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distractions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divisions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address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like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large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cities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Now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so-called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scientific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evidence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often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hard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refute. People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signs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wonders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still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laugh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taught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 (like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Greeks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Yes,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issues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encountered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Corinth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substantially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9AA04AD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mustn’t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neglect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spread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news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 In </w:t>
      </w:r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Acts</w:t>
      </w:r>
      <w:proofErr w:type="spellEnd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Apostles</w:t>
      </w:r>
      <w:proofErr w:type="spellEnd"/>
      <w:r w:rsidRPr="00D7299D">
        <w:rPr>
          <w:rFonts w:ascii="Open Sans" w:eastAsia="Times New Roman" w:hAnsi="Open Sans" w:cs="Open Sans"/>
          <w:i/>
          <w:iCs/>
          <w:color w:val="424242"/>
          <w:kern w:val="0"/>
          <w:sz w:val="21"/>
          <w:szCs w:val="21"/>
          <w:lang w:eastAsia="pt-BR"/>
          <w14:ligatures w14:val="none"/>
        </w:rPr>
        <w:t>,</w:t>
      </w: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 p. 246,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Ellen G. White,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encouragement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A824E51" w14:textId="77777777" w:rsidR="00D7299D" w:rsidRPr="00D7299D" w:rsidRDefault="00D7299D" w:rsidP="00D7299D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“He [Paul]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knew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by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personal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experience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that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when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sinner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once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beholds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love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Father, as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seen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in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sacrifice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His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Son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yields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divine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influence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a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change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heart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takes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place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henceforth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Christ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is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all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in </w:t>
      </w:r>
      <w:proofErr w:type="spellStart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all</w:t>
      </w:r>
      <w:proofErr w:type="spellEnd"/>
      <w:r w:rsidRPr="00D7299D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.”</w:t>
      </w:r>
    </w:p>
    <w:p w14:paraId="240361BA" w14:textId="77777777" w:rsidR="00D7299D" w:rsidRPr="00D7299D" w:rsidRDefault="00D7299D" w:rsidP="00D7299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always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center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mission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world.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wisdom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dedicate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themselves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share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blessed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hope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we’ve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given</w:t>
      </w:r>
      <w:proofErr w:type="spellEnd"/>
      <w:r w:rsidRPr="00D7299D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0C8F06B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Next Week: Unity in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</w:p>
    <w:p w14:paraId="27BBF62A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read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School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resources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for its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, go </w:t>
      </w:r>
      <w:proofErr w:type="spellStart"/>
      <w:r w:rsidRPr="00D7299D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</w:p>
    <w:p w14:paraId="70DF730F" w14:textId="77777777" w:rsidR="00D7299D" w:rsidRPr="00D7299D" w:rsidRDefault="00D7299D" w:rsidP="00D7299D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3" w:history="1">
        <w:r w:rsidRPr="00D7299D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lang w:eastAsia="pt-BR"/>
            <w14:ligatures w14:val="none"/>
          </w:rPr>
          <w:t>https://www.sabbath.school/</w:t>
        </w:r>
      </w:hyperlink>
    </w:p>
    <w:p w14:paraId="61B53F50" w14:textId="77777777" w:rsidR="000C776F" w:rsidRDefault="000C776F"/>
    <w:sectPr w:rsidR="000C776F" w:rsidSect="00D72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AA"/>
    <w:multiLevelType w:val="multilevel"/>
    <w:tmpl w:val="3CD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C35B4"/>
    <w:multiLevelType w:val="multilevel"/>
    <w:tmpl w:val="166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45627"/>
    <w:multiLevelType w:val="multilevel"/>
    <w:tmpl w:val="D23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0F7"/>
    <w:multiLevelType w:val="multilevel"/>
    <w:tmpl w:val="E9B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77BCD"/>
    <w:multiLevelType w:val="multilevel"/>
    <w:tmpl w:val="528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5F2"/>
    <w:multiLevelType w:val="multilevel"/>
    <w:tmpl w:val="FCD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17AE0"/>
    <w:multiLevelType w:val="multilevel"/>
    <w:tmpl w:val="6E4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4091F"/>
    <w:multiLevelType w:val="multilevel"/>
    <w:tmpl w:val="2DF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67A0D"/>
    <w:multiLevelType w:val="multilevel"/>
    <w:tmpl w:val="2C28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07123"/>
    <w:multiLevelType w:val="multilevel"/>
    <w:tmpl w:val="3EFE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815996">
    <w:abstractNumId w:val="2"/>
  </w:num>
  <w:num w:numId="2" w16cid:durableId="1056470207">
    <w:abstractNumId w:val="9"/>
  </w:num>
  <w:num w:numId="3" w16cid:durableId="1170019937">
    <w:abstractNumId w:val="5"/>
  </w:num>
  <w:num w:numId="4" w16cid:durableId="1782383091">
    <w:abstractNumId w:val="6"/>
  </w:num>
  <w:num w:numId="5" w16cid:durableId="470365694">
    <w:abstractNumId w:val="0"/>
  </w:num>
  <w:num w:numId="6" w16cid:durableId="979846475">
    <w:abstractNumId w:val="1"/>
  </w:num>
  <w:num w:numId="7" w16cid:durableId="1581019525">
    <w:abstractNumId w:val="4"/>
  </w:num>
  <w:num w:numId="8" w16cid:durableId="1887331519">
    <w:abstractNumId w:val="8"/>
  </w:num>
  <w:num w:numId="9" w16cid:durableId="469133165">
    <w:abstractNumId w:val="7"/>
  </w:num>
  <w:num w:numId="10" w16cid:durableId="71357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D"/>
    <w:rsid w:val="000C776F"/>
    <w:rsid w:val="00242C60"/>
    <w:rsid w:val="008B0EDA"/>
    <w:rsid w:val="00D7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D7B"/>
  <w15:chartTrackingRefBased/>
  <w15:docId w15:val="{0D5D6EC2-32D5-479F-B229-B3F7A55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2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2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29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9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29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29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9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29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29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9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29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29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1%20Cor%201.17;nkjv?t=biblia" TargetMode="External"/><Relationship Id="rId18" Type="http://schemas.openxmlformats.org/officeDocument/2006/relationships/hyperlink" Target="https://ref.ly/1%20Corinthians%201.25;nkjv?t=biblia" TargetMode="External"/><Relationship Id="rId26" Type="http://schemas.openxmlformats.org/officeDocument/2006/relationships/hyperlink" Target="https://ref.ly/Acts%2013.26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Col%201.20;nkjv?t=bibli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outlookmag.org/the-teachers-notes-the-message-of-the-cross-lesson-2/" TargetMode="External"/><Relationship Id="rId12" Type="http://schemas.openxmlformats.org/officeDocument/2006/relationships/hyperlink" Target="https://ref.ly/1%20Cor%201.17-31;nkjv?t=biblia" TargetMode="External"/><Relationship Id="rId17" Type="http://schemas.openxmlformats.org/officeDocument/2006/relationships/hyperlink" Target="https://ref.ly/1%20Corinthians%201.23;nkjv?t=biblia" TargetMode="External"/><Relationship Id="rId25" Type="http://schemas.openxmlformats.org/officeDocument/2006/relationships/hyperlink" Target="https://ref.ly/1%20Cor%202.1-5;nkjv?t=biblia" TargetMode="External"/><Relationship Id="rId33" Type="http://schemas.openxmlformats.org/officeDocument/2006/relationships/hyperlink" Target="https://www.sabbath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1%20Corinthians%201.21;nkjv?t=biblia" TargetMode="External"/><Relationship Id="rId20" Type="http://schemas.openxmlformats.org/officeDocument/2006/relationships/hyperlink" Target="https://ref.ly/1%20Pet%202.24;nkjv?t=biblia" TargetMode="External"/><Relationship Id="rId29" Type="http://schemas.openxmlformats.org/officeDocument/2006/relationships/hyperlink" Target="https://ref.ly/1%20Cor%201.24-29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Corinthians%202.2;nkjv?t=biblia" TargetMode="External"/><Relationship Id="rId24" Type="http://schemas.openxmlformats.org/officeDocument/2006/relationships/hyperlink" Target="https://ref.ly/1%20Corinthians%201.31;nkjv?t=biblia" TargetMode="External"/><Relationship Id="rId32" Type="http://schemas.openxmlformats.org/officeDocument/2006/relationships/hyperlink" Target="https://ref.ly/James%201.5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1%20Cor%201.20;nkjv?t=biblia" TargetMode="External"/><Relationship Id="rId23" Type="http://schemas.openxmlformats.org/officeDocument/2006/relationships/hyperlink" Target="https://ref.ly/1%20Cor%201.30;nkjv?t=biblia" TargetMode="External"/><Relationship Id="rId28" Type="http://schemas.openxmlformats.org/officeDocument/2006/relationships/hyperlink" Target="https://ref.ly/Acts%2013.47;nkjv?t=biblia" TargetMode="External"/><Relationship Id="rId10" Type="http://schemas.openxmlformats.org/officeDocument/2006/relationships/hyperlink" Target="https://ref.ly/1%20Cor%201.17;nkjv?t=biblia" TargetMode="External"/><Relationship Id="rId19" Type="http://schemas.openxmlformats.org/officeDocument/2006/relationships/hyperlink" Target="https://ref.ly/1%20Corinthians%201.27;nkjv?t=biblia" TargetMode="External"/><Relationship Id="rId31" Type="http://schemas.openxmlformats.org/officeDocument/2006/relationships/hyperlink" Target="https://ref.ly/2%20Tim%203.15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Cor%201.18;niv?t=biblia" TargetMode="External"/><Relationship Id="rId14" Type="http://schemas.openxmlformats.org/officeDocument/2006/relationships/hyperlink" Target="https://ref.ly/1%20Corinthians%202.2;nkjv?t=biblia" TargetMode="External"/><Relationship Id="rId22" Type="http://schemas.openxmlformats.org/officeDocument/2006/relationships/hyperlink" Target="https://ref.ly/1%20Pet%202.24;nkjv?t=biblia" TargetMode="External"/><Relationship Id="rId27" Type="http://schemas.openxmlformats.org/officeDocument/2006/relationships/hyperlink" Target="https://ref.ly/Acts%2013.38;nkjv?t=biblia" TargetMode="External"/><Relationship Id="rId30" Type="http://schemas.openxmlformats.org/officeDocument/2006/relationships/hyperlink" Target="https://ref.ly/1%20Cor%201.21;nkjv?t=biblia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1728</Words>
  <Characters>9335</Characters>
  <Application>Microsoft Office Word</Application>
  <DocSecurity>0</DocSecurity>
  <Lines>77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2026-07-04T19:22:00Z</dcterms:created>
  <dcterms:modified xsi:type="dcterms:W3CDTF">2026-07-04T19:24:00Z</dcterms:modified>
</cp:coreProperties>
</file>